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2C" w:rsidRPr="00A4282C" w:rsidRDefault="00A4282C" w:rsidP="004B4161">
      <w:pPr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p w:rsidR="00A4282C" w:rsidRDefault="00A4282C" w:rsidP="00A4282C">
      <w:pPr>
        <w:jc w:val="center"/>
        <w:rPr>
          <w:rFonts w:ascii="Times New Roman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TIẾN ĐỘ TRIỂN KHAI</w:t>
      </w:r>
      <w:r w:rsidR="004B4161" w:rsidRPr="0096475D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HOẠT ĐỘNG NĂM 2023-2024</w:t>
      </w:r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</w:p>
    <w:p w:rsidR="00A4282C" w:rsidRPr="00A4282C" w:rsidRDefault="00A4282C" w:rsidP="00A4282C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C</w:t>
      </w:r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hương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trình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thí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đi</w:t>
      </w:r>
      <w:r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ể</w:t>
      </w:r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m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chăn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nuôi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ATSH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và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KSDB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ngành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chăn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nuôi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l</w:t>
      </w:r>
      <w:r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ợn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t</w:t>
      </w:r>
      <w:r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ạ</w:t>
      </w:r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i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</w:t>
      </w:r>
      <w:proofErr w:type="spellStart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Vi</w:t>
      </w:r>
      <w:r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ệ</w:t>
      </w:r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>t</w:t>
      </w:r>
      <w:proofErr w:type="spellEnd"/>
      <w:r w:rsidRPr="00A4282C">
        <w:rPr>
          <w:rFonts w:ascii="Times New Roman" w:hAnsi="Times New Roman" w:cs="Times New Roman"/>
          <w:b/>
          <w:bCs/>
          <w:sz w:val="32"/>
          <w:szCs w:val="28"/>
          <w:lang w:eastAsia="en-US"/>
        </w:rPr>
        <w:t xml:space="preserve"> Nam</w:t>
      </w: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648"/>
        <w:gridCol w:w="2570"/>
        <w:gridCol w:w="1177"/>
        <w:gridCol w:w="1276"/>
        <w:gridCol w:w="1304"/>
        <w:gridCol w:w="1615"/>
        <w:gridCol w:w="1651"/>
        <w:gridCol w:w="5352"/>
      </w:tblGrid>
      <w:tr w:rsidR="003222EB" w:rsidRPr="00376E8B" w:rsidTr="00217558">
        <w:trPr>
          <w:tblHeader/>
        </w:trPr>
        <w:tc>
          <w:tcPr>
            <w:tcW w:w="648" w:type="dxa"/>
            <w:shd w:val="clear" w:color="auto" w:fill="E2EFD9" w:themeFill="accent6" w:themeFillTint="33"/>
          </w:tcPr>
          <w:p w:rsidR="003222EB" w:rsidRPr="00376E8B" w:rsidRDefault="003222EB" w:rsidP="00A21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70" w:type="dxa"/>
            <w:shd w:val="clear" w:color="auto" w:fill="E2EFD9" w:themeFill="accent6" w:themeFillTint="33"/>
          </w:tcPr>
          <w:p w:rsidR="003222EB" w:rsidRPr="00376E8B" w:rsidRDefault="003222EB" w:rsidP="00A21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  <w:p w:rsidR="003222EB" w:rsidRPr="00376E8B" w:rsidRDefault="003222EB" w:rsidP="00A21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E2EFD9" w:themeFill="accent6" w:themeFillTint="33"/>
          </w:tcPr>
          <w:p w:rsidR="003222EB" w:rsidRPr="00376E8B" w:rsidRDefault="003222EB" w:rsidP="00A21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:rsidR="003222EB" w:rsidRPr="00376E8B" w:rsidRDefault="003222EB" w:rsidP="00717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mối</w:t>
            </w:r>
            <w:proofErr w:type="spellEnd"/>
          </w:p>
        </w:tc>
        <w:tc>
          <w:tcPr>
            <w:tcW w:w="1304" w:type="dxa"/>
            <w:shd w:val="clear" w:color="auto" w:fill="E2EFD9" w:themeFill="accent6" w:themeFillTint="33"/>
          </w:tcPr>
          <w:p w:rsidR="00376E8B" w:rsidRPr="00376E8B" w:rsidRDefault="003222EB" w:rsidP="00717B5F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615" w:type="dxa"/>
            <w:shd w:val="clear" w:color="auto" w:fill="E2EFD9" w:themeFill="accent6" w:themeFillTint="33"/>
          </w:tcPr>
          <w:p w:rsidR="003222EB" w:rsidRPr="00376E8B" w:rsidRDefault="003222EB" w:rsidP="00A21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phẩm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651" w:type="dxa"/>
            <w:shd w:val="clear" w:color="auto" w:fill="E2EFD9" w:themeFill="accent6" w:themeFillTint="33"/>
          </w:tcPr>
          <w:p w:rsidR="003222EB" w:rsidRPr="00376E8B" w:rsidRDefault="003222EB" w:rsidP="00A21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5352" w:type="dxa"/>
            <w:shd w:val="clear" w:color="auto" w:fill="E2EFD9" w:themeFill="accent6" w:themeFillTint="33"/>
          </w:tcPr>
          <w:p w:rsidR="003222EB" w:rsidRPr="00376E8B" w:rsidRDefault="00717B5F" w:rsidP="00A21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</w:tr>
      <w:tr w:rsidR="000E77C6" w:rsidRPr="007C7049" w:rsidTr="00217558">
        <w:tc>
          <w:tcPr>
            <w:tcW w:w="648" w:type="dxa"/>
          </w:tcPr>
          <w:p w:rsidR="000E77C6" w:rsidRPr="007C7049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0E77C6" w:rsidRPr="0009256A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  <w:p w:rsidR="000E77C6" w:rsidRPr="0009256A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0E77C6" w:rsidRPr="000D1A58" w:rsidRDefault="004B4161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6/2023 -12/2024</w:t>
            </w:r>
          </w:p>
        </w:tc>
        <w:tc>
          <w:tcPr>
            <w:tcW w:w="1276" w:type="dxa"/>
          </w:tcPr>
          <w:p w:rsidR="000E77C6" w:rsidRDefault="000E77C6" w:rsidP="00717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 xml:space="preserve"> HTQT</w:t>
            </w:r>
            <w:r w:rsidRPr="007C70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77C6" w:rsidRPr="004579C7" w:rsidRDefault="000E77C6" w:rsidP="00717B5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3222EB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4579C7" w:rsidRDefault="000E77C6" w:rsidP="000E77C6">
            <w:pPr>
              <w:pStyle w:val="ListParagraph"/>
              <w:ind w:left="360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77C6" w:rsidRPr="00717B5F" w:rsidRDefault="000E77C6" w:rsidP="00717B5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17B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17B5F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717B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7B5F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  <w:p w:rsidR="004B4161" w:rsidRPr="00717B5F" w:rsidRDefault="004B4161" w:rsidP="00717B5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17B5F"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 w:rsidRPr="00717B5F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="00717B5F" w:rsidRPr="00717B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17B5F" w:rsidRPr="00717B5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17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0E77C6" w:rsidRDefault="00717B5F" w:rsidP="000E77C6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2023: 21/4/2023</w:t>
            </w:r>
          </w:p>
          <w:p w:rsidR="00717B5F" w:rsidRDefault="00717B5F" w:rsidP="000E77C6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2023:</w:t>
            </w:r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29/6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717B5F" w:rsidRPr="00A217A0" w:rsidRDefault="00717B5F" w:rsidP="000E77C6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2023: 17/10/2023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77C6" w:rsidRPr="007C7049" w:rsidTr="00217558">
        <w:trPr>
          <w:trHeight w:val="783"/>
        </w:trPr>
        <w:tc>
          <w:tcPr>
            <w:tcW w:w="648" w:type="dxa"/>
          </w:tcPr>
          <w:p w:rsidR="000E77C6" w:rsidRDefault="000E77C6" w:rsidP="0021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E77C6" w:rsidRDefault="000E77C6" w:rsidP="00217558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6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  <w:p w:rsidR="000E77C6" w:rsidRPr="00217558" w:rsidRDefault="00717B5F" w:rsidP="00217558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Công-Tư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</w:tcPr>
          <w:p w:rsidR="000E77C6" w:rsidRDefault="004B4161" w:rsidP="00217558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6/2023 -12/2024</w:t>
            </w:r>
          </w:p>
        </w:tc>
        <w:tc>
          <w:tcPr>
            <w:tcW w:w="1276" w:type="dxa"/>
          </w:tcPr>
          <w:p w:rsidR="000E77C6" w:rsidRDefault="000E77C6" w:rsidP="0021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 xml:space="preserve"> HTQT</w:t>
            </w:r>
            <w:r w:rsidRPr="007C70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77C6" w:rsidRPr="004579C7" w:rsidRDefault="000E77C6" w:rsidP="0021755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3222EB" w:rsidRDefault="000E77C6" w:rsidP="0021755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4579C7" w:rsidRDefault="000E77C6" w:rsidP="00217558">
            <w:pPr>
              <w:pStyle w:val="ListParagraph"/>
              <w:ind w:left="360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77C6" w:rsidRPr="004579C7" w:rsidRDefault="000E77C6" w:rsidP="00217558">
            <w:pPr>
              <w:pStyle w:val="ListParagraph"/>
              <w:ind w:left="36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52" w:type="dxa"/>
          </w:tcPr>
          <w:p w:rsidR="00717B5F" w:rsidRDefault="00717B5F" w:rsidP="00217558">
            <w:pPr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217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2023: 17/</w:t>
            </w:r>
            <w:r w:rsidR="000E77C6" w:rsidRPr="001A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0E77C6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7C6" w:rsidRPr="00A217A0" w:rsidRDefault="00717B5F" w:rsidP="00217558">
            <w:pPr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17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2023: </w:t>
            </w:r>
            <w:proofErr w:type="spellStart"/>
            <w:r w:rsidR="00A4282C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="00A4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82C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A428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11/2023</w:t>
            </w:r>
            <w:r w:rsidR="00217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17558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21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558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217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77C6" w:rsidRPr="007C7049" w:rsidTr="00217558">
        <w:tc>
          <w:tcPr>
            <w:tcW w:w="648" w:type="dxa"/>
          </w:tcPr>
          <w:p w:rsidR="000E77C6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0E77C6" w:rsidRPr="00EA10E1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trinh</w:t>
            </w:r>
            <w:proofErr w:type="spellEnd"/>
          </w:p>
        </w:tc>
        <w:tc>
          <w:tcPr>
            <w:tcW w:w="1177" w:type="dxa"/>
          </w:tcPr>
          <w:p w:rsidR="000E77C6" w:rsidRDefault="004B4161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6/2023 -12/2024</w:t>
            </w:r>
          </w:p>
        </w:tc>
        <w:tc>
          <w:tcPr>
            <w:tcW w:w="1276" w:type="dxa"/>
          </w:tcPr>
          <w:p w:rsidR="000E77C6" w:rsidRDefault="000E77C6" w:rsidP="00717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 xml:space="preserve"> HTQT</w:t>
            </w:r>
            <w:r w:rsidRPr="007C70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77C6" w:rsidRPr="00614DAC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3222EB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4579C7" w:rsidRDefault="000E77C6" w:rsidP="000E77C6">
            <w:pPr>
              <w:pStyle w:val="ListParagraph"/>
              <w:ind w:left="360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77C6" w:rsidRPr="004579C7" w:rsidRDefault="000E77C6" w:rsidP="000E77C6">
            <w:pPr>
              <w:pStyle w:val="ListParagraph"/>
              <w:ind w:left="36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52" w:type="dxa"/>
          </w:tcPr>
          <w:p w:rsidR="000E77C6" w:rsidRPr="00A217A0" w:rsidRDefault="000E77C6" w:rsidP="000E77C6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IFC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phái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Nam)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niên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WOAH</w:t>
            </w:r>
            <w:r w:rsidR="00217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17558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21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558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717B5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217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77C6" w:rsidRPr="007C7049" w:rsidTr="00217558">
        <w:tc>
          <w:tcPr>
            <w:tcW w:w="648" w:type="dxa"/>
          </w:tcPr>
          <w:p w:rsidR="000E77C6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0E77C6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Onehealth</w:t>
            </w:r>
            <w:proofErr w:type="spellEnd"/>
          </w:p>
          <w:p w:rsidR="000E77C6" w:rsidRPr="00125133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0E77C6" w:rsidRDefault="004B4161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6/2023 -12/2024</w:t>
            </w:r>
          </w:p>
        </w:tc>
        <w:tc>
          <w:tcPr>
            <w:tcW w:w="1276" w:type="dxa"/>
          </w:tcPr>
          <w:p w:rsidR="000E77C6" w:rsidRDefault="000E77C6" w:rsidP="00717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 xml:space="preserve"> HTQT</w:t>
            </w:r>
            <w:r w:rsidRPr="007C70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77C6" w:rsidRPr="004579C7" w:rsidRDefault="000E77C6" w:rsidP="00717B5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3222EB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4579C7" w:rsidRDefault="000E77C6" w:rsidP="000E77C6">
            <w:pPr>
              <w:pStyle w:val="ListParagraph"/>
              <w:ind w:left="360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77C6" w:rsidRPr="004579C7" w:rsidRDefault="000E77C6" w:rsidP="000E77C6">
            <w:pPr>
              <w:pStyle w:val="ListParagraph"/>
              <w:ind w:left="36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52" w:type="dxa"/>
            <w:vMerge w:val="restart"/>
          </w:tcPr>
          <w:p w:rsidR="000E77C6" w:rsidRPr="001A1999" w:rsidRDefault="00717B5F" w:rsidP="000E77C6">
            <w:pPr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="000E77C6" w:rsidRPr="001A1999">
              <w:rPr>
                <w:rFonts w:ascii="Times New Roman" w:hAnsi="Times New Roman" w:cs="Times New Roman"/>
                <w:sz w:val="24"/>
                <w:szCs w:val="24"/>
              </w:rPr>
              <w:t>OneHealth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77C6" w:rsidRDefault="00717B5F" w:rsidP="006C1313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7C6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9/2023: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cty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313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6C1313">
              <w:rPr>
                <w:rFonts w:ascii="Times New Roman" w:hAnsi="Times New Roman" w:cs="Times New Roman"/>
                <w:sz w:val="24"/>
                <w:szCs w:val="24"/>
              </w:rPr>
              <w:t xml:space="preserve"> website</w:t>
            </w:r>
            <w:r w:rsidR="000E77C6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7C6" w:rsidRPr="001A1999">
              <w:rPr>
                <w:rFonts w:ascii="Times New Roman" w:hAnsi="Times New Roman" w:cs="Times New Roman"/>
                <w:sz w:val="24"/>
                <w:szCs w:val="24"/>
              </w:rPr>
              <w:t>OneHealth</w:t>
            </w:r>
            <w:proofErr w:type="spellEnd"/>
            <w:r w:rsidR="00A42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313" w:rsidRPr="00A217A0" w:rsidRDefault="006C1313" w:rsidP="006C1313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82C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 w:rsidR="00A4282C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82C" w:rsidRPr="001A1999">
              <w:rPr>
                <w:rFonts w:ascii="Times New Roman" w:hAnsi="Times New Roman" w:cs="Times New Roman"/>
                <w:sz w:val="24"/>
                <w:szCs w:val="24"/>
              </w:rPr>
              <w:t>OneHealth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1/2024</w:t>
            </w:r>
            <w:r w:rsidR="00A42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7C6" w:rsidRPr="007C7049" w:rsidTr="00217558">
        <w:tc>
          <w:tcPr>
            <w:tcW w:w="648" w:type="dxa"/>
          </w:tcPr>
          <w:p w:rsidR="000E77C6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0E77C6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Onehealth</w:t>
            </w:r>
            <w:proofErr w:type="spellEnd"/>
          </w:p>
          <w:p w:rsidR="000E77C6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0E77C6" w:rsidRDefault="004B4161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6/2023 -12/2024</w:t>
            </w:r>
          </w:p>
        </w:tc>
        <w:tc>
          <w:tcPr>
            <w:tcW w:w="1276" w:type="dxa"/>
          </w:tcPr>
          <w:p w:rsidR="000E77C6" w:rsidRDefault="000E77C6" w:rsidP="00717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C7049">
              <w:rPr>
                <w:rFonts w:ascii="Times New Roman" w:hAnsi="Times New Roman" w:cs="Times New Roman"/>
                <w:sz w:val="24"/>
                <w:szCs w:val="24"/>
              </w:rPr>
              <w:t xml:space="preserve"> HTQT</w:t>
            </w:r>
            <w:r w:rsidRPr="007C70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77C6" w:rsidRPr="004579C7" w:rsidRDefault="000E77C6" w:rsidP="00717B5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3222EB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4579C7" w:rsidRDefault="000E77C6" w:rsidP="000E77C6">
            <w:pPr>
              <w:pStyle w:val="ListParagraph"/>
              <w:ind w:left="360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77C6" w:rsidRDefault="000E77C6" w:rsidP="00A4282C">
            <w:pPr>
              <w:pStyle w:val="ListParagraph"/>
              <w:tabs>
                <w:tab w:val="left" w:pos="14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5352" w:type="dxa"/>
            <w:vMerge/>
          </w:tcPr>
          <w:p w:rsidR="000E77C6" w:rsidRPr="00A217A0" w:rsidRDefault="000E77C6" w:rsidP="000E77C6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7C6" w:rsidRPr="007C7049" w:rsidTr="00217558">
        <w:tc>
          <w:tcPr>
            <w:tcW w:w="648" w:type="dxa"/>
          </w:tcPr>
          <w:p w:rsidR="000E77C6" w:rsidRPr="007C7049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:rsidR="000E77C6" w:rsidRPr="006A4AB5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ghị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vững</w:t>
            </w:r>
            <w:proofErr w:type="spellEnd"/>
          </w:p>
          <w:p w:rsidR="000E77C6" w:rsidRPr="006A4AB5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C6" w:rsidRPr="003C7FB5" w:rsidRDefault="000E77C6" w:rsidP="000E77C6">
            <w:pPr>
              <w:pStyle w:val="ListParagraph"/>
              <w:ind w:left="360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0E77C6" w:rsidRPr="00A4282C" w:rsidRDefault="000E77C6" w:rsidP="00A4282C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428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E77C6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7C6" w:rsidRPr="00614DAC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3222EB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A4282C" w:rsidRDefault="000E77C6" w:rsidP="000E77C6">
            <w:pPr>
              <w:ind w:right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Nghị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định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mới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được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ban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hành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năm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2023</w:t>
            </w:r>
          </w:p>
        </w:tc>
        <w:tc>
          <w:tcPr>
            <w:tcW w:w="1651" w:type="dxa"/>
          </w:tcPr>
          <w:p w:rsidR="000E77C6" w:rsidRPr="005E48A0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E77C6" w:rsidRDefault="000E77C6" w:rsidP="000E77C6">
            <w:pPr>
              <w:ind w:left="-22" w:right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Cung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cấp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chuyên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gia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hỗ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trợ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quá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trình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xây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dựng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Nghị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định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điều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tra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khảo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sát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làm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báo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cáo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lấy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ý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kiến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làm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tờ</w:t>
            </w:r>
            <w:proofErr w:type="spell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trình</w:t>
            </w:r>
            <w:proofErr w:type="spellEnd"/>
            <w:proofErr w:type="gramStart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,…</w:t>
            </w:r>
            <w:proofErr w:type="gramEnd"/>
            <w:r w:rsidRPr="009B3C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A4282C" w:rsidRPr="009B3C77" w:rsidRDefault="00A4282C" w:rsidP="000E77C6">
            <w:pPr>
              <w:ind w:left="-22" w:right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Ko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có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thông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tin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về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hoạt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động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này</w:t>
            </w:r>
            <w:proofErr w:type="spellEnd"/>
            <w:r w:rsidRPr="00A4282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)</w:t>
            </w:r>
          </w:p>
        </w:tc>
      </w:tr>
      <w:tr w:rsidR="000E77C6" w:rsidRPr="007C7049" w:rsidTr="00217558">
        <w:tc>
          <w:tcPr>
            <w:tcW w:w="648" w:type="dxa"/>
          </w:tcPr>
          <w:p w:rsidR="000E77C6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:rsidR="000E77C6" w:rsidRPr="006A4AB5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55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21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55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6A4AB5">
              <w:rPr>
                <w:rFonts w:ascii="Times New Roman" w:hAnsi="Times New Roman" w:cs="Times New Roman"/>
                <w:sz w:val="24"/>
                <w:szCs w:val="24"/>
              </w:rPr>
              <w:t xml:space="preserve"> TASH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</w:t>
            </w:r>
            <w:r w:rsidR="009B3C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10/2022</w:t>
            </w:r>
          </w:p>
          <w:p w:rsidR="000E77C6" w:rsidRPr="006A4AB5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0E77C6" w:rsidRPr="00A217A0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</w:tc>
        <w:tc>
          <w:tcPr>
            <w:tcW w:w="1276" w:type="dxa"/>
          </w:tcPr>
          <w:p w:rsidR="000E77C6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7C6" w:rsidRPr="00A217A0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A217A0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</w:p>
          <w:p w:rsidR="000E77C6" w:rsidRPr="007E3AC9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QLCT</w:t>
            </w:r>
          </w:p>
        </w:tc>
        <w:tc>
          <w:tcPr>
            <w:tcW w:w="1651" w:type="dxa"/>
          </w:tcPr>
          <w:p w:rsidR="000E77C6" w:rsidRPr="00632CE6" w:rsidRDefault="000E77C6" w:rsidP="004B4161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9B3C77" w:rsidRDefault="009B3C77" w:rsidP="00536048">
            <w:pPr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CP 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536048" w:rsidRPr="001A1999" w:rsidRDefault="00536048" w:rsidP="00536048">
            <w:pPr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Đôn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ATSH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CN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phê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duyệ</w:t>
            </w:r>
            <w:r w:rsidR="009B3C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Masan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Meatlife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ATSH;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Heus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="009B3C77" w:rsidRPr="009B3C77">
              <w:rPr>
                <w:rFonts w:ascii="Times New Roman" w:hAnsi="Times New Roman" w:cs="Times New Roman"/>
                <w:sz w:val="24"/>
                <w:szCs w:val="24"/>
              </w:rPr>
              <w:t xml:space="preserve"> ATSH</w:t>
            </w:r>
            <w:r w:rsidR="009B3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C77" w:rsidRDefault="00536048" w:rsidP="00536048">
            <w:pPr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Masan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Meatlife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III)</w:t>
            </w:r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6048" w:rsidRPr="001A1999" w:rsidRDefault="00D926CF" w:rsidP="00D926CF">
            <w:pPr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(Masan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Meatlife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C7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048" w:rsidRPr="001A1999" w:rsidRDefault="00536048" w:rsidP="00536048">
            <w:pPr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D926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Cty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Linkfarm-Greenfeed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Dabaco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Japfa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Nam,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BaF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Amafarm</w:t>
            </w:r>
            <w:proofErr w:type="spellEnd"/>
            <w:proofErr w:type="gram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proofErr w:type="gram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phê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7/2023</w:t>
            </w: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6CF" w:rsidRDefault="00536048" w:rsidP="00D926CF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CN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IFC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6CF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D926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77C6" w:rsidRDefault="00D926CF" w:rsidP="00D926CF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IFC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26-29/9)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guyên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</w:t>
            </w:r>
            <w:r w:rsidR="000C42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0C42E1">
              <w:rPr>
                <w:rFonts w:ascii="Times New Roman" w:hAnsi="Times New Roman" w:cs="Times New Roman"/>
                <w:sz w:val="24"/>
                <w:szCs w:val="24"/>
              </w:rPr>
              <w:t xml:space="preserve"> 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82C" w:rsidRPr="00A217A0" w:rsidRDefault="00A4282C" w:rsidP="00A4282C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BQL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13-20/11/2023</w:t>
            </w:r>
          </w:p>
        </w:tc>
      </w:tr>
      <w:tr w:rsidR="000E77C6" w:rsidRPr="007C7049" w:rsidTr="00217558">
        <w:tc>
          <w:tcPr>
            <w:tcW w:w="648" w:type="dxa"/>
          </w:tcPr>
          <w:p w:rsidR="000E77C6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0" w:type="dxa"/>
          </w:tcPr>
          <w:p w:rsidR="000E77C6" w:rsidRPr="006A4AB5" w:rsidRDefault="00536048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99">
              <w:rPr>
                <w:rFonts w:ascii="Times New Roman" w:hAnsi="Times New Roman"/>
                <w:sz w:val="24"/>
                <w:szCs w:val="24"/>
              </w:rPr>
              <w:t xml:space="preserve">ĐGV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1A1999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1A1999">
              <w:rPr>
                <w:rFonts w:ascii="Times New Roman" w:hAnsi="Times New Roman"/>
                <w:sz w:val="24"/>
                <w:szCs w:val="24"/>
              </w:rPr>
              <w:t>:2015</w:t>
            </w:r>
          </w:p>
        </w:tc>
        <w:tc>
          <w:tcPr>
            <w:tcW w:w="1177" w:type="dxa"/>
          </w:tcPr>
          <w:p w:rsidR="000E77C6" w:rsidRPr="00A217A0" w:rsidRDefault="004B4161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6/2023 -12/2023</w:t>
            </w:r>
          </w:p>
        </w:tc>
        <w:tc>
          <w:tcPr>
            <w:tcW w:w="1276" w:type="dxa"/>
          </w:tcPr>
          <w:p w:rsidR="000E77C6" w:rsidRDefault="00536048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IFC, </w:t>
            </w:r>
            <w:proofErr w:type="spellStart"/>
            <w:r w:rsidR="000E77C6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="000E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7C6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 w:rsidR="000E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7C6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="000E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7C6" w:rsidRPr="00A217A0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A217A0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A217A0" w:rsidRDefault="0015601E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7C6">
              <w:rPr>
                <w:rFonts w:ascii="Times New Roman" w:hAnsi="Times New Roman" w:cs="Times New Roman"/>
                <w:sz w:val="24"/>
                <w:szCs w:val="24"/>
              </w:rPr>
              <w:t xml:space="preserve">CNTY </w:t>
            </w:r>
            <w:proofErr w:type="spellStart"/>
            <w:r w:rsidR="000E77C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0E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7C6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="000E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7C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="000E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ĐGV</w:t>
            </w:r>
          </w:p>
        </w:tc>
        <w:tc>
          <w:tcPr>
            <w:tcW w:w="1651" w:type="dxa"/>
          </w:tcPr>
          <w:p w:rsidR="00536048" w:rsidRPr="005E48A0" w:rsidRDefault="0015601E" w:rsidP="00536048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53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CNTY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536048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52" w:type="dxa"/>
          </w:tcPr>
          <w:p w:rsidR="00D926CF" w:rsidRDefault="00D926CF" w:rsidP="00536048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  <w:p w:rsidR="00A4282C" w:rsidRDefault="00A4282C" w:rsidP="00536048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0E77C6" w:rsidRPr="00A217A0" w:rsidRDefault="000E77C6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7C6" w:rsidRPr="007C7049" w:rsidTr="00217558">
        <w:tc>
          <w:tcPr>
            <w:tcW w:w="648" w:type="dxa"/>
          </w:tcPr>
          <w:p w:rsidR="000E77C6" w:rsidRDefault="000E77C6" w:rsidP="000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0E77C6" w:rsidRPr="006A4AB5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Xác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định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và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xây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dựng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các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chính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sách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hỗ</w:t>
            </w:r>
            <w:proofErr w:type="spellEnd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trợ</w:t>
            </w:r>
            <w:proofErr w:type="spellEnd"/>
          </w:p>
        </w:tc>
        <w:tc>
          <w:tcPr>
            <w:tcW w:w="1177" w:type="dxa"/>
          </w:tcPr>
          <w:p w:rsidR="000E77C6" w:rsidRPr="00A217A0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</w:tc>
        <w:tc>
          <w:tcPr>
            <w:tcW w:w="1276" w:type="dxa"/>
          </w:tcPr>
          <w:p w:rsidR="000E77C6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7C6" w:rsidRPr="00A217A0" w:rsidRDefault="000E77C6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E77C6" w:rsidRPr="00A217A0" w:rsidRDefault="000E77C6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0E77C6" w:rsidRPr="00ED01D2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77C6" w:rsidRPr="00ED01D2" w:rsidRDefault="000E77C6" w:rsidP="000E77C6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4282C" w:rsidRDefault="00A4282C" w:rsidP="00A4282C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:rsidR="000E77C6" w:rsidRPr="00A217A0" w:rsidRDefault="000E77C6" w:rsidP="000E77C6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3A" w:rsidRPr="007C7049" w:rsidTr="00217558">
        <w:tc>
          <w:tcPr>
            <w:tcW w:w="648" w:type="dxa"/>
          </w:tcPr>
          <w:p w:rsidR="0090373A" w:rsidRPr="007C7049" w:rsidRDefault="0090373A" w:rsidP="0090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0" w:type="dxa"/>
          </w:tcPr>
          <w:p w:rsidR="0090373A" w:rsidRPr="00A217A0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24/2022/TT-BNNPTNT</w:t>
            </w:r>
          </w:p>
          <w:p w:rsidR="0090373A" w:rsidRPr="00A217A0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0373A" w:rsidRPr="00BD6B45" w:rsidRDefault="004B4161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6/2023 -12/2023</w:t>
            </w:r>
          </w:p>
        </w:tc>
        <w:tc>
          <w:tcPr>
            <w:tcW w:w="1276" w:type="dxa"/>
          </w:tcPr>
          <w:p w:rsidR="0090373A" w:rsidRPr="00A217A0" w:rsidRDefault="0090373A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1304" w:type="dxa"/>
          </w:tcPr>
          <w:p w:rsidR="0090373A" w:rsidRPr="00A217A0" w:rsidRDefault="0090373A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90373A" w:rsidRPr="00ED01D2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1" w:type="dxa"/>
          </w:tcPr>
          <w:p w:rsidR="0090373A" w:rsidRPr="00ED01D2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5352" w:type="dxa"/>
          </w:tcPr>
          <w:p w:rsidR="0090373A" w:rsidRDefault="00A4282C" w:rsidP="0090373A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373A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90373A" w:rsidRPr="001A1999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="0090373A">
              <w:rPr>
                <w:rFonts w:ascii="Times New Roman" w:hAnsi="Times New Roman" w:cs="Times New Roman"/>
                <w:sz w:val="24"/>
                <w:szCs w:val="24"/>
              </w:rPr>
              <w:t xml:space="preserve"> * 50 </w:t>
            </w:r>
            <w:proofErr w:type="spellStart"/>
            <w:r w:rsidR="0090373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90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73A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903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73A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282C" w:rsidRPr="00A217A0" w:rsidRDefault="00A4282C" w:rsidP="0090373A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90373A" w:rsidRPr="007C7049" w:rsidTr="00217558">
        <w:tc>
          <w:tcPr>
            <w:tcW w:w="648" w:type="dxa"/>
          </w:tcPr>
          <w:p w:rsidR="0090373A" w:rsidRDefault="0090373A" w:rsidP="0090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70" w:type="dxa"/>
          </w:tcPr>
          <w:p w:rsidR="0090373A" w:rsidRPr="00A217A0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ATDB,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ATDB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217A0">
              <w:rPr>
                <w:rFonts w:ascii="Times New Roman" w:hAnsi="Times New Roman" w:cs="Times New Roman"/>
                <w:sz w:val="24"/>
                <w:szCs w:val="24"/>
              </w:rPr>
              <w:t xml:space="preserve"> WOAH/OIE </w:t>
            </w:r>
          </w:p>
          <w:p w:rsidR="0090373A" w:rsidRPr="00A217A0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0373A" w:rsidRPr="00BD6B45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</w:tc>
        <w:tc>
          <w:tcPr>
            <w:tcW w:w="1276" w:type="dxa"/>
          </w:tcPr>
          <w:p w:rsidR="0090373A" w:rsidRPr="00A217A0" w:rsidRDefault="0090373A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1304" w:type="dxa"/>
          </w:tcPr>
          <w:p w:rsidR="0090373A" w:rsidRPr="00A217A0" w:rsidRDefault="0090373A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3222EB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90373A" w:rsidRPr="00A217A0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90373A" w:rsidRPr="00A217A0" w:rsidRDefault="0090373A" w:rsidP="0090373A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4282C" w:rsidRDefault="00A4282C" w:rsidP="0090373A">
            <w:pPr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2024</w:t>
            </w:r>
          </w:p>
          <w:p w:rsidR="0090373A" w:rsidRPr="001A1999" w:rsidRDefault="0090373A" w:rsidP="0090373A">
            <w:pPr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hướng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dẫn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giám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kiểm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thanh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việc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thực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hiện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thẩm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định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kiểm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đánh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cấp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Giấy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chứng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nhận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chuỗi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an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toàn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bệnh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cho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các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ty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chương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trình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0373A" w:rsidRPr="00A217A0" w:rsidRDefault="0090373A" w:rsidP="0090373A">
            <w:pPr>
              <w:ind w:left="-2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bố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danh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sách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chuỗi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vùng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an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toàn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bệnh</w:t>
            </w:r>
            <w:proofErr w:type="spellEnd"/>
          </w:p>
        </w:tc>
      </w:tr>
      <w:tr w:rsidR="0015601E" w:rsidRPr="007C7049" w:rsidTr="00217558">
        <w:tc>
          <w:tcPr>
            <w:tcW w:w="648" w:type="dxa"/>
          </w:tcPr>
          <w:p w:rsidR="0015601E" w:rsidRDefault="00AC10AB" w:rsidP="0015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0" w:type="dxa"/>
          </w:tcPr>
          <w:p w:rsidR="0015601E" w:rsidRPr="001A1999" w:rsidRDefault="0015601E" w:rsidP="0015601E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tay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CS/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vùng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ATDB (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dựa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tay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ATSH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5601E" w:rsidRPr="00A217A0" w:rsidRDefault="0015601E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sẽ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xem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Pr="001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15601E" w:rsidRDefault="0015601E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6/2023 -12/2023</w:t>
            </w:r>
          </w:p>
        </w:tc>
        <w:tc>
          <w:tcPr>
            <w:tcW w:w="1276" w:type="dxa"/>
          </w:tcPr>
          <w:p w:rsidR="0015601E" w:rsidRDefault="0015601E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304" w:type="dxa"/>
          </w:tcPr>
          <w:p w:rsidR="0015601E" w:rsidRPr="003222EB" w:rsidRDefault="0015601E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, IFC</w:t>
            </w:r>
          </w:p>
        </w:tc>
        <w:tc>
          <w:tcPr>
            <w:tcW w:w="1615" w:type="dxa"/>
          </w:tcPr>
          <w:p w:rsidR="0015601E" w:rsidRPr="001A1999" w:rsidRDefault="0015601E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651" w:type="dxa"/>
          </w:tcPr>
          <w:p w:rsidR="0015601E" w:rsidRPr="00A217A0" w:rsidRDefault="0015601E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4282C" w:rsidRDefault="00A4282C" w:rsidP="0015601E">
            <w:pPr>
              <w:ind w:left="34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:rsidR="0015601E" w:rsidRPr="001A1999" w:rsidRDefault="0015601E" w:rsidP="0015601E">
            <w:pPr>
              <w:ind w:left="34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ATSH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CN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phê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10/2023 -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dung “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Biosercurity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”;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- Disease Surveillance”)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sung,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24/2022.</w:t>
            </w:r>
          </w:p>
          <w:p w:rsidR="0015601E" w:rsidRPr="001A1999" w:rsidRDefault="0015601E" w:rsidP="0015601E">
            <w:pPr>
              <w:ind w:left="34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dung “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(Disease Response)”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nhằm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24/2022.</w:t>
            </w:r>
          </w:p>
          <w:p w:rsidR="0015601E" w:rsidRPr="001A1999" w:rsidRDefault="0015601E" w:rsidP="0015601E">
            <w:pPr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+ IFC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kĩ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WOAH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(Disease Response)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01E" w:rsidRPr="007C7049" w:rsidTr="00217558">
        <w:tc>
          <w:tcPr>
            <w:tcW w:w="648" w:type="dxa"/>
          </w:tcPr>
          <w:p w:rsidR="0015601E" w:rsidRDefault="00AC10AB" w:rsidP="0015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0" w:type="dxa"/>
          </w:tcPr>
          <w:p w:rsidR="0015601E" w:rsidRPr="001A1999" w:rsidRDefault="0015601E" w:rsidP="0015601E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ATDB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WOAH/OIE </w:t>
            </w:r>
          </w:p>
        </w:tc>
        <w:tc>
          <w:tcPr>
            <w:tcW w:w="1177" w:type="dxa"/>
          </w:tcPr>
          <w:p w:rsidR="0015601E" w:rsidRPr="001A1999" w:rsidRDefault="0015601E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6/2023 -12/2024</w:t>
            </w:r>
          </w:p>
        </w:tc>
        <w:tc>
          <w:tcPr>
            <w:tcW w:w="1276" w:type="dxa"/>
          </w:tcPr>
          <w:p w:rsidR="0015601E" w:rsidRPr="001A1999" w:rsidRDefault="0015601E" w:rsidP="0071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1304" w:type="dxa"/>
          </w:tcPr>
          <w:p w:rsidR="0015601E" w:rsidRPr="001A1999" w:rsidRDefault="0015601E" w:rsidP="00717B5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HTKT</w:t>
            </w:r>
          </w:p>
        </w:tc>
        <w:tc>
          <w:tcPr>
            <w:tcW w:w="1615" w:type="dxa"/>
          </w:tcPr>
          <w:p w:rsidR="0015601E" w:rsidRPr="001A1999" w:rsidRDefault="0015601E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0205E2" w:rsidRPr="001A1999">
              <w:rPr>
                <w:rFonts w:ascii="Times New Roman" w:hAnsi="Times New Roman" w:cs="Times New Roman"/>
                <w:sz w:val="24"/>
                <w:szCs w:val="24"/>
              </w:rPr>
              <w:t xml:space="preserve"> ATDB</w:t>
            </w:r>
          </w:p>
        </w:tc>
        <w:tc>
          <w:tcPr>
            <w:tcW w:w="1651" w:type="dxa"/>
          </w:tcPr>
          <w:p w:rsidR="0015601E" w:rsidRPr="00A217A0" w:rsidRDefault="0015601E" w:rsidP="0015601E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4282C" w:rsidRDefault="00A4282C" w:rsidP="0015601E">
            <w:pPr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2024</w:t>
            </w:r>
          </w:p>
          <w:p w:rsidR="0015601E" w:rsidRPr="001A1999" w:rsidRDefault="0015601E" w:rsidP="0015601E">
            <w:pPr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Tổ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chức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hướng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dẫn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giám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kiểm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thanh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việc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thực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hiện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thẩm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định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kiểm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đánh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cấp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Giấy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chứng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nhận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chuỗi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an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toàn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bệnh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cho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các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ty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tham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gia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chương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trình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15601E" w:rsidRPr="001A1999" w:rsidRDefault="0015601E" w:rsidP="0015601E">
            <w:pPr>
              <w:ind w:left="34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bố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danh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sách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chuỗi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cơ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vùng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proofErr w:type="gram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toàn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dịch</w:t>
            </w:r>
            <w:proofErr w:type="spellEnd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999">
              <w:rPr>
                <w:rFonts w:ascii="Times New Roman" w:hAnsi="Times New Roman"/>
                <w:bCs/>
                <w:sz w:val="24"/>
                <w:szCs w:val="24"/>
              </w:rPr>
              <w:t>bệnh</w:t>
            </w:r>
            <w:proofErr w:type="spellEnd"/>
            <w:r w:rsidR="000205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E0B7E" w:rsidRPr="00221C18" w:rsidRDefault="002E0B7E" w:rsidP="008F1143">
      <w:pPr>
        <w:rPr>
          <w:rFonts w:eastAsia="Times New Roman"/>
          <w:lang w:eastAsia="en-US"/>
        </w:rPr>
      </w:pPr>
    </w:p>
    <w:sectPr w:rsidR="002E0B7E" w:rsidRPr="00221C18" w:rsidSect="004B416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ED" w:rsidRDefault="00A848ED" w:rsidP="00764CBA">
      <w:r>
        <w:separator/>
      </w:r>
    </w:p>
  </w:endnote>
  <w:endnote w:type="continuationSeparator" w:id="0">
    <w:p w:rsidR="00A848ED" w:rsidRDefault="00A848ED" w:rsidP="0076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ED" w:rsidRDefault="00A848ED" w:rsidP="00764CBA">
      <w:r>
        <w:separator/>
      </w:r>
    </w:p>
  </w:footnote>
  <w:footnote w:type="continuationSeparator" w:id="0">
    <w:p w:rsidR="00A848ED" w:rsidRDefault="00A848ED" w:rsidP="00764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6C8"/>
    <w:multiLevelType w:val="hybridMultilevel"/>
    <w:tmpl w:val="2E609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5140F6"/>
    <w:multiLevelType w:val="hybridMultilevel"/>
    <w:tmpl w:val="F33CFF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638F0"/>
    <w:multiLevelType w:val="multilevel"/>
    <w:tmpl w:val="7758C6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7B31AC"/>
    <w:multiLevelType w:val="hybridMultilevel"/>
    <w:tmpl w:val="BC8E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D612E"/>
    <w:multiLevelType w:val="hybridMultilevel"/>
    <w:tmpl w:val="5BAC469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5C0503"/>
    <w:multiLevelType w:val="hybridMultilevel"/>
    <w:tmpl w:val="DADA716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1E22DE"/>
    <w:multiLevelType w:val="hybridMultilevel"/>
    <w:tmpl w:val="8980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4052"/>
    <w:multiLevelType w:val="hybridMultilevel"/>
    <w:tmpl w:val="A03EF9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272F9E"/>
    <w:multiLevelType w:val="hybridMultilevel"/>
    <w:tmpl w:val="50D2FB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0CAD"/>
    <w:multiLevelType w:val="hybridMultilevel"/>
    <w:tmpl w:val="097E833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D50300"/>
    <w:multiLevelType w:val="hybridMultilevel"/>
    <w:tmpl w:val="9146D578"/>
    <w:lvl w:ilvl="0" w:tplc="32A6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8509B"/>
    <w:multiLevelType w:val="hybridMultilevel"/>
    <w:tmpl w:val="19EE2C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A20C31"/>
    <w:multiLevelType w:val="hybridMultilevel"/>
    <w:tmpl w:val="F10AAA9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0F6093"/>
    <w:multiLevelType w:val="hybridMultilevel"/>
    <w:tmpl w:val="989C3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11ED3"/>
    <w:multiLevelType w:val="hybridMultilevel"/>
    <w:tmpl w:val="FE302DA2"/>
    <w:lvl w:ilvl="0" w:tplc="B15EDA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26EEA"/>
    <w:multiLevelType w:val="hybridMultilevel"/>
    <w:tmpl w:val="765AEF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360734"/>
    <w:multiLevelType w:val="hybridMultilevel"/>
    <w:tmpl w:val="00921CA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A8234C"/>
    <w:multiLevelType w:val="multilevel"/>
    <w:tmpl w:val="7758C6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94A6BC8"/>
    <w:multiLevelType w:val="hybridMultilevel"/>
    <w:tmpl w:val="C5BE9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17291"/>
    <w:multiLevelType w:val="hybridMultilevel"/>
    <w:tmpl w:val="E4066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D31E6"/>
    <w:multiLevelType w:val="hybridMultilevel"/>
    <w:tmpl w:val="0FBAB32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434D69"/>
    <w:multiLevelType w:val="hybridMultilevel"/>
    <w:tmpl w:val="E370F9E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2C6A3E"/>
    <w:multiLevelType w:val="hybridMultilevel"/>
    <w:tmpl w:val="290E6D90"/>
    <w:lvl w:ilvl="0" w:tplc="0F7ED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C3945"/>
    <w:multiLevelType w:val="hybridMultilevel"/>
    <w:tmpl w:val="AAD078E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B96249"/>
    <w:multiLevelType w:val="hybridMultilevel"/>
    <w:tmpl w:val="CAF835E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2A2A0E"/>
    <w:multiLevelType w:val="hybridMultilevel"/>
    <w:tmpl w:val="44F60D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E51F1D"/>
    <w:multiLevelType w:val="hybridMultilevel"/>
    <w:tmpl w:val="C56E9574"/>
    <w:lvl w:ilvl="0" w:tplc="F14A4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B01C4"/>
    <w:multiLevelType w:val="multilevel"/>
    <w:tmpl w:val="7758C6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B635C8E"/>
    <w:multiLevelType w:val="hybridMultilevel"/>
    <w:tmpl w:val="0C5A2C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11328"/>
    <w:multiLevelType w:val="hybridMultilevel"/>
    <w:tmpl w:val="4AE8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2"/>
  </w:num>
  <w:num w:numId="5">
    <w:abstractNumId w:val="10"/>
  </w:num>
  <w:num w:numId="6">
    <w:abstractNumId w:val="27"/>
  </w:num>
  <w:num w:numId="7">
    <w:abstractNumId w:val="22"/>
  </w:num>
  <w:num w:numId="8">
    <w:abstractNumId w:val="26"/>
  </w:num>
  <w:num w:numId="9">
    <w:abstractNumId w:val="1"/>
  </w:num>
  <w:num w:numId="10">
    <w:abstractNumId w:val="12"/>
  </w:num>
  <w:num w:numId="11">
    <w:abstractNumId w:val="11"/>
  </w:num>
  <w:num w:numId="12">
    <w:abstractNumId w:val="24"/>
  </w:num>
  <w:num w:numId="13">
    <w:abstractNumId w:val="23"/>
  </w:num>
  <w:num w:numId="14">
    <w:abstractNumId w:val="7"/>
  </w:num>
  <w:num w:numId="15">
    <w:abstractNumId w:val="4"/>
  </w:num>
  <w:num w:numId="16">
    <w:abstractNumId w:val="9"/>
  </w:num>
  <w:num w:numId="17">
    <w:abstractNumId w:val="21"/>
  </w:num>
  <w:num w:numId="18">
    <w:abstractNumId w:val="16"/>
  </w:num>
  <w:num w:numId="19">
    <w:abstractNumId w:val="25"/>
  </w:num>
  <w:num w:numId="20">
    <w:abstractNumId w:val="20"/>
  </w:num>
  <w:num w:numId="21">
    <w:abstractNumId w:val="5"/>
  </w:num>
  <w:num w:numId="22">
    <w:abstractNumId w:val="28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29"/>
  </w:num>
  <w:num w:numId="28">
    <w:abstractNumId w:val="15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tDQzMDAxNzKxNDQyNDFS0lEKTi0uzszPAykwrQUAMEvPCywAAAA="/>
  </w:docVars>
  <w:rsids>
    <w:rsidRoot w:val="009A6007"/>
    <w:rsid w:val="000001E2"/>
    <w:rsid w:val="0000564C"/>
    <w:rsid w:val="000066EB"/>
    <w:rsid w:val="00007AA3"/>
    <w:rsid w:val="00010F21"/>
    <w:rsid w:val="000205E2"/>
    <w:rsid w:val="00021240"/>
    <w:rsid w:val="00033C7F"/>
    <w:rsid w:val="00035A41"/>
    <w:rsid w:val="00047C6C"/>
    <w:rsid w:val="000566D6"/>
    <w:rsid w:val="000574DA"/>
    <w:rsid w:val="00057F80"/>
    <w:rsid w:val="00061ABB"/>
    <w:rsid w:val="00063279"/>
    <w:rsid w:val="00070DAB"/>
    <w:rsid w:val="0007212C"/>
    <w:rsid w:val="00073F91"/>
    <w:rsid w:val="00082A21"/>
    <w:rsid w:val="00085796"/>
    <w:rsid w:val="00085C84"/>
    <w:rsid w:val="00087A6E"/>
    <w:rsid w:val="0009256A"/>
    <w:rsid w:val="00093BBF"/>
    <w:rsid w:val="00096420"/>
    <w:rsid w:val="000972FE"/>
    <w:rsid w:val="00097E48"/>
    <w:rsid w:val="000A6847"/>
    <w:rsid w:val="000B371B"/>
    <w:rsid w:val="000B67D7"/>
    <w:rsid w:val="000B7D5C"/>
    <w:rsid w:val="000C42E1"/>
    <w:rsid w:val="000D02E6"/>
    <w:rsid w:val="000D11CB"/>
    <w:rsid w:val="000D1A58"/>
    <w:rsid w:val="000E017F"/>
    <w:rsid w:val="000E7655"/>
    <w:rsid w:val="000E77C6"/>
    <w:rsid w:val="000F2D6F"/>
    <w:rsid w:val="00111AE3"/>
    <w:rsid w:val="00113065"/>
    <w:rsid w:val="00125133"/>
    <w:rsid w:val="00125150"/>
    <w:rsid w:val="00135376"/>
    <w:rsid w:val="00144198"/>
    <w:rsid w:val="0015601E"/>
    <w:rsid w:val="00160874"/>
    <w:rsid w:val="00161B3F"/>
    <w:rsid w:val="00164C11"/>
    <w:rsid w:val="00170D2E"/>
    <w:rsid w:val="00180A63"/>
    <w:rsid w:val="00186CF7"/>
    <w:rsid w:val="00187341"/>
    <w:rsid w:val="0019181C"/>
    <w:rsid w:val="00194C9E"/>
    <w:rsid w:val="001A4863"/>
    <w:rsid w:val="001A6B1D"/>
    <w:rsid w:val="001B26C9"/>
    <w:rsid w:val="001C0455"/>
    <w:rsid w:val="001C0F31"/>
    <w:rsid w:val="001C137D"/>
    <w:rsid w:val="001C2B36"/>
    <w:rsid w:val="001D4A23"/>
    <w:rsid w:val="002065F9"/>
    <w:rsid w:val="00215CD8"/>
    <w:rsid w:val="002164FC"/>
    <w:rsid w:val="00217558"/>
    <w:rsid w:val="00221C18"/>
    <w:rsid w:val="00225010"/>
    <w:rsid w:val="002273F4"/>
    <w:rsid w:val="00234C75"/>
    <w:rsid w:val="00240EE8"/>
    <w:rsid w:val="002445C4"/>
    <w:rsid w:val="0025178B"/>
    <w:rsid w:val="00256B43"/>
    <w:rsid w:val="0025785F"/>
    <w:rsid w:val="00294BBF"/>
    <w:rsid w:val="002A5B0B"/>
    <w:rsid w:val="002A7D80"/>
    <w:rsid w:val="002E0623"/>
    <w:rsid w:val="002E0B7E"/>
    <w:rsid w:val="002F2FB3"/>
    <w:rsid w:val="00301674"/>
    <w:rsid w:val="003029A2"/>
    <w:rsid w:val="003136F9"/>
    <w:rsid w:val="003222EB"/>
    <w:rsid w:val="00323E26"/>
    <w:rsid w:val="003269A4"/>
    <w:rsid w:val="00332AD7"/>
    <w:rsid w:val="00356284"/>
    <w:rsid w:val="00372145"/>
    <w:rsid w:val="00374658"/>
    <w:rsid w:val="003752FD"/>
    <w:rsid w:val="00376E8B"/>
    <w:rsid w:val="00397875"/>
    <w:rsid w:val="003A0B11"/>
    <w:rsid w:val="003A40D7"/>
    <w:rsid w:val="003C0AC8"/>
    <w:rsid w:val="003C62DC"/>
    <w:rsid w:val="003C7FB5"/>
    <w:rsid w:val="003E5E20"/>
    <w:rsid w:val="003E7FAE"/>
    <w:rsid w:val="003F497A"/>
    <w:rsid w:val="004037F1"/>
    <w:rsid w:val="00405B37"/>
    <w:rsid w:val="00411EF4"/>
    <w:rsid w:val="00420FEA"/>
    <w:rsid w:val="00435F88"/>
    <w:rsid w:val="004462FE"/>
    <w:rsid w:val="004509C4"/>
    <w:rsid w:val="004579C7"/>
    <w:rsid w:val="00465941"/>
    <w:rsid w:val="0048371C"/>
    <w:rsid w:val="0048379E"/>
    <w:rsid w:val="004A45FF"/>
    <w:rsid w:val="004B4161"/>
    <w:rsid w:val="004B49EE"/>
    <w:rsid w:val="004B645C"/>
    <w:rsid w:val="004F1B1E"/>
    <w:rsid w:val="004F4F81"/>
    <w:rsid w:val="00504CD4"/>
    <w:rsid w:val="00505717"/>
    <w:rsid w:val="00536048"/>
    <w:rsid w:val="00561078"/>
    <w:rsid w:val="00563876"/>
    <w:rsid w:val="00572875"/>
    <w:rsid w:val="00573C11"/>
    <w:rsid w:val="00580369"/>
    <w:rsid w:val="005849EE"/>
    <w:rsid w:val="00595AFF"/>
    <w:rsid w:val="005C2F10"/>
    <w:rsid w:val="005C48D1"/>
    <w:rsid w:val="005D06AE"/>
    <w:rsid w:val="005D21D5"/>
    <w:rsid w:val="005D3FF2"/>
    <w:rsid w:val="005D5933"/>
    <w:rsid w:val="005E2949"/>
    <w:rsid w:val="005E48A0"/>
    <w:rsid w:val="005E4C7F"/>
    <w:rsid w:val="005E7C04"/>
    <w:rsid w:val="0061169B"/>
    <w:rsid w:val="00614BF7"/>
    <w:rsid w:val="00614DAC"/>
    <w:rsid w:val="0061682E"/>
    <w:rsid w:val="00630727"/>
    <w:rsid w:val="00632CE6"/>
    <w:rsid w:val="00655F92"/>
    <w:rsid w:val="006875F9"/>
    <w:rsid w:val="006A318C"/>
    <w:rsid w:val="006A4AB5"/>
    <w:rsid w:val="006A7ED9"/>
    <w:rsid w:val="006C1313"/>
    <w:rsid w:val="006C366C"/>
    <w:rsid w:val="006D7069"/>
    <w:rsid w:val="006D7375"/>
    <w:rsid w:val="006F4124"/>
    <w:rsid w:val="006F4CA7"/>
    <w:rsid w:val="006F6A5D"/>
    <w:rsid w:val="00702C6A"/>
    <w:rsid w:val="00704CD9"/>
    <w:rsid w:val="00717B5F"/>
    <w:rsid w:val="007208A3"/>
    <w:rsid w:val="0073278E"/>
    <w:rsid w:val="00733CCA"/>
    <w:rsid w:val="007436D2"/>
    <w:rsid w:val="00764CBA"/>
    <w:rsid w:val="00765FCE"/>
    <w:rsid w:val="0076695C"/>
    <w:rsid w:val="00771932"/>
    <w:rsid w:val="007759A0"/>
    <w:rsid w:val="00780AC4"/>
    <w:rsid w:val="00787B6D"/>
    <w:rsid w:val="00793530"/>
    <w:rsid w:val="007B0DE9"/>
    <w:rsid w:val="007B6DE9"/>
    <w:rsid w:val="007B7803"/>
    <w:rsid w:val="007C4D72"/>
    <w:rsid w:val="007C5EB3"/>
    <w:rsid w:val="007C7049"/>
    <w:rsid w:val="007E0FEC"/>
    <w:rsid w:val="007E3AC9"/>
    <w:rsid w:val="007F352C"/>
    <w:rsid w:val="0081413D"/>
    <w:rsid w:val="008531D2"/>
    <w:rsid w:val="008710A5"/>
    <w:rsid w:val="008767E4"/>
    <w:rsid w:val="00894FBF"/>
    <w:rsid w:val="008B5F0A"/>
    <w:rsid w:val="008C3EE9"/>
    <w:rsid w:val="008D1139"/>
    <w:rsid w:val="008D3DA3"/>
    <w:rsid w:val="008D72AA"/>
    <w:rsid w:val="008E2CA7"/>
    <w:rsid w:val="008E7E4E"/>
    <w:rsid w:val="008F1143"/>
    <w:rsid w:val="008F3450"/>
    <w:rsid w:val="009020A0"/>
    <w:rsid w:val="009030C5"/>
    <w:rsid w:val="0090373A"/>
    <w:rsid w:val="00904969"/>
    <w:rsid w:val="00907993"/>
    <w:rsid w:val="009103D1"/>
    <w:rsid w:val="00924385"/>
    <w:rsid w:val="00930E07"/>
    <w:rsid w:val="00931F77"/>
    <w:rsid w:val="009701D2"/>
    <w:rsid w:val="009753DD"/>
    <w:rsid w:val="009944E0"/>
    <w:rsid w:val="009A6007"/>
    <w:rsid w:val="009A7CB6"/>
    <w:rsid w:val="009B079F"/>
    <w:rsid w:val="009B3C77"/>
    <w:rsid w:val="009E0EEF"/>
    <w:rsid w:val="009E4AB2"/>
    <w:rsid w:val="009E7D65"/>
    <w:rsid w:val="009F1F70"/>
    <w:rsid w:val="00A217A0"/>
    <w:rsid w:val="00A257B2"/>
    <w:rsid w:val="00A3702C"/>
    <w:rsid w:val="00A417FE"/>
    <w:rsid w:val="00A4282C"/>
    <w:rsid w:val="00A42EE7"/>
    <w:rsid w:val="00A4439F"/>
    <w:rsid w:val="00A44E5A"/>
    <w:rsid w:val="00A723D2"/>
    <w:rsid w:val="00A848ED"/>
    <w:rsid w:val="00AA3F6E"/>
    <w:rsid w:val="00AA4ECF"/>
    <w:rsid w:val="00AB1371"/>
    <w:rsid w:val="00AB77C4"/>
    <w:rsid w:val="00AC10AB"/>
    <w:rsid w:val="00AD2FF2"/>
    <w:rsid w:val="00AD35F5"/>
    <w:rsid w:val="00AE1771"/>
    <w:rsid w:val="00AE3411"/>
    <w:rsid w:val="00B07841"/>
    <w:rsid w:val="00B21F77"/>
    <w:rsid w:val="00B23C5B"/>
    <w:rsid w:val="00B2490B"/>
    <w:rsid w:val="00B279DD"/>
    <w:rsid w:val="00B46417"/>
    <w:rsid w:val="00B464BA"/>
    <w:rsid w:val="00B4747A"/>
    <w:rsid w:val="00B60B12"/>
    <w:rsid w:val="00B86DEB"/>
    <w:rsid w:val="00B90D0E"/>
    <w:rsid w:val="00B9165C"/>
    <w:rsid w:val="00BA3CB0"/>
    <w:rsid w:val="00BA60C2"/>
    <w:rsid w:val="00BC5448"/>
    <w:rsid w:val="00BD3333"/>
    <w:rsid w:val="00BD6B45"/>
    <w:rsid w:val="00BE7ACB"/>
    <w:rsid w:val="00BF420C"/>
    <w:rsid w:val="00BF68FB"/>
    <w:rsid w:val="00C20A34"/>
    <w:rsid w:val="00C21E33"/>
    <w:rsid w:val="00C25BB4"/>
    <w:rsid w:val="00C2615C"/>
    <w:rsid w:val="00C2795A"/>
    <w:rsid w:val="00C33D5A"/>
    <w:rsid w:val="00C50253"/>
    <w:rsid w:val="00C7742E"/>
    <w:rsid w:val="00C90119"/>
    <w:rsid w:val="00C97298"/>
    <w:rsid w:val="00CA0309"/>
    <w:rsid w:val="00CA0B93"/>
    <w:rsid w:val="00CC5A87"/>
    <w:rsid w:val="00CD1917"/>
    <w:rsid w:val="00CE0D41"/>
    <w:rsid w:val="00CE29E9"/>
    <w:rsid w:val="00CE2F8D"/>
    <w:rsid w:val="00CE5A7A"/>
    <w:rsid w:val="00CE5C9D"/>
    <w:rsid w:val="00CF52AD"/>
    <w:rsid w:val="00CF581C"/>
    <w:rsid w:val="00D06144"/>
    <w:rsid w:val="00D07F7E"/>
    <w:rsid w:val="00D310B9"/>
    <w:rsid w:val="00D61B05"/>
    <w:rsid w:val="00D7043C"/>
    <w:rsid w:val="00D926CF"/>
    <w:rsid w:val="00D92C1A"/>
    <w:rsid w:val="00D944DB"/>
    <w:rsid w:val="00D94B14"/>
    <w:rsid w:val="00DA524D"/>
    <w:rsid w:val="00DB58F3"/>
    <w:rsid w:val="00DB6318"/>
    <w:rsid w:val="00DC5B44"/>
    <w:rsid w:val="00DD5261"/>
    <w:rsid w:val="00DE734A"/>
    <w:rsid w:val="00E04B3D"/>
    <w:rsid w:val="00E409A9"/>
    <w:rsid w:val="00E4170D"/>
    <w:rsid w:val="00E544F5"/>
    <w:rsid w:val="00E7268F"/>
    <w:rsid w:val="00E72FD9"/>
    <w:rsid w:val="00E747A5"/>
    <w:rsid w:val="00E91B07"/>
    <w:rsid w:val="00E949E6"/>
    <w:rsid w:val="00E957B4"/>
    <w:rsid w:val="00EA10E1"/>
    <w:rsid w:val="00EA5A88"/>
    <w:rsid w:val="00EB4893"/>
    <w:rsid w:val="00EB6379"/>
    <w:rsid w:val="00EB7331"/>
    <w:rsid w:val="00ED01D2"/>
    <w:rsid w:val="00ED314C"/>
    <w:rsid w:val="00EE2AD7"/>
    <w:rsid w:val="00EE4813"/>
    <w:rsid w:val="00EF5CEA"/>
    <w:rsid w:val="00F04970"/>
    <w:rsid w:val="00F44B76"/>
    <w:rsid w:val="00F70C7C"/>
    <w:rsid w:val="00F80425"/>
    <w:rsid w:val="00FA10EC"/>
    <w:rsid w:val="00FA6B7A"/>
    <w:rsid w:val="00FB1E95"/>
    <w:rsid w:val="00FB5F1E"/>
    <w:rsid w:val="00FC4945"/>
    <w:rsid w:val="00FC7DF7"/>
    <w:rsid w:val="00FD3C4A"/>
    <w:rsid w:val="00FD593C"/>
    <w:rsid w:val="00FE312F"/>
    <w:rsid w:val="00FF039B"/>
    <w:rsid w:val="00FF3A47"/>
    <w:rsid w:val="00FF5168"/>
    <w:rsid w:val="00FF5A6E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DC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73278E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3278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64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CBA"/>
    <w:rPr>
      <w:rFonts w:ascii="Calibri" w:hAnsi="Calibri" w:cs="Calibri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764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BA"/>
    <w:rPr>
      <w:rFonts w:ascii="Calibri" w:hAnsi="Calibri" w:cs="Calibri"/>
      <w:lang w:eastAsia="en-NZ"/>
    </w:rPr>
  </w:style>
  <w:style w:type="character" w:styleId="Emphasis">
    <w:name w:val="Emphasis"/>
    <w:basedOn w:val="DefaultParagraphFont"/>
    <w:uiPriority w:val="20"/>
    <w:qFormat/>
    <w:rsid w:val="00F70C7C"/>
    <w:rPr>
      <w:i/>
      <w:iCs/>
    </w:rPr>
  </w:style>
  <w:style w:type="table" w:styleId="TableGrid">
    <w:name w:val="Table Grid"/>
    <w:basedOn w:val="TableNormal"/>
    <w:uiPriority w:val="39"/>
    <w:rsid w:val="005803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0A9F-B747-4358-88D9-8448EF1C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Stone</dc:creator>
  <cp:lastModifiedBy>NgoDucMinh</cp:lastModifiedBy>
  <cp:revision>27</cp:revision>
  <dcterms:created xsi:type="dcterms:W3CDTF">2023-06-28T15:18:00Z</dcterms:created>
  <dcterms:modified xsi:type="dcterms:W3CDTF">2023-10-11T12:33:00Z</dcterms:modified>
</cp:coreProperties>
</file>